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76F4F3" w14:textId="46D3F0D9" w:rsidR="00D31BDF" w:rsidRDefault="3025C650" w:rsidP="2D361DCA">
      <w:pPr>
        <w:jc w:val="center"/>
        <w:rPr>
          <w:rFonts w:ascii="Aptos" w:eastAsia="Aptos" w:hAnsi="Aptos" w:cs="Aptos"/>
          <w:color w:val="000000" w:themeColor="text1"/>
        </w:rPr>
      </w:pPr>
      <w:r>
        <w:rPr>
          <w:noProof/>
        </w:rPr>
        <w:drawing>
          <wp:inline distT="0" distB="0" distL="0" distR="0" wp14:anchorId="1353B010" wp14:editId="62873D59">
            <wp:extent cx="1733550" cy="819150"/>
            <wp:effectExtent l="0" t="0" r="0" b="0"/>
            <wp:docPr id="1455751381" name="drawing" descr="A logo with text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75138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280A7" w14:textId="244CE2CD" w:rsidR="00137C9A" w:rsidRPr="00137C9A" w:rsidRDefault="00137C9A" w:rsidP="00137C9A">
      <w:pPr>
        <w:spacing w:after="0" w:line="276" w:lineRule="auto"/>
        <w:jc w:val="center"/>
        <w:rPr>
          <w:rFonts w:ascii="Aptos" w:hAnsi="Aptos" w:cs="Arial"/>
          <w:b/>
          <w:bCs/>
          <w:sz w:val="28"/>
          <w:szCs w:val="28"/>
          <w:lang w:val="en-AE"/>
        </w:rPr>
      </w:pPr>
      <w:r w:rsidRPr="00137C9A">
        <w:rPr>
          <w:rFonts w:ascii="Aptos" w:hAnsi="Aptos" w:cs="Arial"/>
          <w:b/>
          <w:bCs/>
          <w:sz w:val="28"/>
          <w:szCs w:val="28"/>
          <w:lang w:val="en-AE"/>
        </w:rPr>
        <w:t>SLS The Red Sea Unveils Striking Sculptural Installation by Saudi Artist Heba</w:t>
      </w:r>
      <w:r>
        <w:rPr>
          <w:rFonts w:ascii="Aptos" w:hAnsi="Aptos" w:cs="Arial"/>
          <w:b/>
          <w:bCs/>
          <w:sz w:val="28"/>
          <w:szCs w:val="28"/>
          <w:lang w:val="en-AE"/>
        </w:rPr>
        <w:t xml:space="preserve"> Ismail</w:t>
      </w:r>
    </w:p>
    <w:p w14:paraId="0D6F24E6" w14:textId="77777777" w:rsidR="00137C9A" w:rsidRPr="00137C9A" w:rsidRDefault="00137C9A" w:rsidP="45D1E487">
      <w:pPr>
        <w:spacing w:after="0" w:line="276" w:lineRule="auto"/>
        <w:jc w:val="center"/>
        <w:rPr>
          <w:i/>
          <w:iCs/>
          <w:lang w:val="en-AE"/>
        </w:rPr>
      </w:pPr>
      <w:r w:rsidRPr="45D1E487">
        <w:rPr>
          <w:i/>
          <w:iCs/>
        </w:rPr>
        <w:t>Celebrating contemporary Saudi creativity through bold design, vibrant colour and cultural storytelling</w:t>
      </w:r>
    </w:p>
    <w:p w14:paraId="0A7BBFF9" w14:textId="54A93FE9" w:rsidR="45D1E487" w:rsidRDefault="45D1E487" w:rsidP="45D1E487">
      <w:pPr>
        <w:spacing w:after="0" w:line="276" w:lineRule="auto"/>
        <w:jc w:val="center"/>
        <w:rPr>
          <w:i/>
          <w:iCs/>
          <w:lang w:val="en-AE"/>
        </w:rPr>
      </w:pPr>
    </w:p>
    <w:p w14:paraId="4F7E9A6B" w14:textId="59C0D7D6" w:rsidR="21D0748F" w:rsidRDefault="21D0748F" w:rsidP="45D1E487">
      <w:pPr>
        <w:spacing w:after="0" w:line="276" w:lineRule="auto"/>
        <w:jc w:val="center"/>
      </w:pPr>
      <w:r>
        <w:rPr>
          <w:noProof/>
        </w:rPr>
        <w:drawing>
          <wp:inline distT="0" distB="0" distL="0" distR="0" wp14:anchorId="4C6D65AE" wp14:editId="517A900A">
            <wp:extent cx="5943600" cy="2905125"/>
            <wp:effectExtent l="0" t="0" r="0" b="0"/>
            <wp:docPr id="1778542225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542225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C0197" w14:textId="2C3A0E0D" w:rsidR="00137C9A" w:rsidRDefault="00806C26" w:rsidP="45D1E487">
      <w:pPr>
        <w:spacing w:after="0"/>
        <w:jc w:val="center"/>
      </w:pPr>
      <w:r w:rsidRPr="45D1E487">
        <w:rPr>
          <w:i/>
          <w:iCs/>
        </w:rPr>
        <w:t>High-res images</w:t>
      </w:r>
      <w:r w:rsidR="00137C9A" w:rsidRPr="45D1E487">
        <w:rPr>
          <w:i/>
          <w:iCs/>
        </w:rPr>
        <w:t xml:space="preserve"> here</w:t>
      </w:r>
      <w:r w:rsidR="116FDEB8" w:rsidRPr="45D1E487">
        <w:rPr>
          <w:i/>
          <w:iCs/>
        </w:rPr>
        <w:t xml:space="preserve">: </w:t>
      </w:r>
      <w:hyperlink r:id="rId6">
        <w:r w:rsidR="116FDEB8" w:rsidRPr="45D1E487">
          <w:rPr>
            <w:rStyle w:val="Hyperlink"/>
            <w:i/>
            <w:iCs/>
          </w:rPr>
          <w:t>https://we.tl/t-mGEHqsYC0P</w:t>
        </w:r>
      </w:hyperlink>
    </w:p>
    <w:p w14:paraId="22492386" w14:textId="77777777" w:rsidR="00AB0F4C" w:rsidRPr="00137C9A" w:rsidRDefault="00AB0F4C" w:rsidP="45D1E487">
      <w:pPr>
        <w:spacing w:after="0"/>
        <w:jc w:val="center"/>
        <w:rPr>
          <w:i/>
          <w:iCs/>
        </w:rPr>
      </w:pPr>
    </w:p>
    <w:p w14:paraId="604F85DE" w14:textId="7F1A4BAA" w:rsidR="00137C9A" w:rsidRPr="00137C9A" w:rsidRDefault="00137C9A" w:rsidP="45D1E487">
      <w:pPr>
        <w:spacing w:after="0"/>
        <w:jc w:val="both"/>
        <w:rPr>
          <w:kern w:val="2"/>
          <w:lang w:eastAsia="en-US"/>
          <w14:ligatures w14:val="standardContextual"/>
        </w:rPr>
      </w:pPr>
      <w:hyperlink r:id="rId7" w:history="1">
        <w:r w:rsidRPr="45D1E487">
          <w:rPr>
            <w:rStyle w:val="Hyperlink"/>
            <w:kern w:val="2"/>
            <w:lang w:eastAsia="en-US"/>
            <w14:ligatures w14:val="standardContextual"/>
          </w:rPr>
          <w:t>SLS The Red Sea</w:t>
        </w:r>
      </w:hyperlink>
      <w:r w:rsidRPr="45D1E487">
        <w:rPr>
          <w:kern w:val="2"/>
          <w:lang w:eastAsia="en-US"/>
          <w14:ligatures w14:val="standardContextual"/>
        </w:rPr>
        <w:t xml:space="preserve"> introduces a bold new artistic statement with the unveiling of a large-scale sculptural installation by Saudi artist Heba Ismail, blending contemporary design with rich cultural references from across the Kingdom.</w:t>
      </w:r>
    </w:p>
    <w:p w14:paraId="65CF8644" w14:textId="77777777" w:rsidR="00137C9A" w:rsidRPr="00137C9A" w:rsidRDefault="00137C9A" w:rsidP="00137C9A">
      <w:pPr>
        <w:spacing w:after="0"/>
        <w:jc w:val="both"/>
        <w:rPr>
          <w:rFonts w:eastAsiaTheme="minorHAnsi"/>
          <w:kern w:val="2"/>
          <w:lang w:eastAsia="en-US"/>
          <w14:ligatures w14:val="standardContextual"/>
        </w:rPr>
      </w:pPr>
    </w:p>
    <w:p w14:paraId="655EB8C4" w14:textId="79936312" w:rsidR="00137C9A" w:rsidRPr="00137C9A" w:rsidRDefault="00137C9A" w:rsidP="00137C9A">
      <w:pPr>
        <w:spacing w:after="0"/>
        <w:jc w:val="both"/>
        <w:rPr>
          <w:rFonts w:eastAsiaTheme="minorHAnsi"/>
          <w:kern w:val="2"/>
          <w:lang w:eastAsia="en-US"/>
          <w14:ligatures w14:val="standardContextual"/>
        </w:rPr>
      </w:pPr>
      <w:r w:rsidRPr="00137C9A">
        <w:rPr>
          <w:rFonts w:eastAsiaTheme="minorHAnsi"/>
          <w:kern w:val="2"/>
          <w:lang w:eastAsia="en-US"/>
          <w14:ligatures w14:val="standardContextual"/>
        </w:rPr>
        <w:t xml:space="preserve">Created as a playful yet meaningful </w:t>
      </w:r>
      <w:proofErr w:type="spellStart"/>
      <w:r w:rsidRPr="00137C9A">
        <w:rPr>
          <w:rFonts w:eastAsiaTheme="minorHAnsi"/>
          <w:kern w:val="2"/>
          <w:lang w:eastAsia="en-US"/>
          <w14:ligatures w14:val="standardContextual"/>
        </w:rPr>
        <w:t>centrepiece</w:t>
      </w:r>
      <w:proofErr w:type="spellEnd"/>
      <w:r w:rsidRPr="00137C9A">
        <w:rPr>
          <w:rFonts w:eastAsiaTheme="minorHAnsi"/>
          <w:kern w:val="2"/>
          <w:lang w:eastAsia="en-US"/>
          <w14:ligatures w14:val="standardContextual"/>
        </w:rPr>
        <w:t xml:space="preserve">, the sculpture reimagines Saudi heritage through a modern lens, reflecting both national identity and the spirited personality of the SLS brand. Each section of the sculpture draws inspiration from distinct regional art forms from </w:t>
      </w:r>
      <w:proofErr w:type="spellStart"/>
      <w:r w:rsidRPr="00137C9A">
        <w:rPr>
          <w:rFonts w:eastAsiaTheme="minorHAnsi"/>
          <w:kern w:val="2"/>
          <w:lang w:eastAsia="en-US"/>
          <w14:ligatures w14:val="standardContextual"/>
        </w:rPr>
        <w:t>Qatt</w:t>
      </w:r>
      <w:proofErr w:type="spellEnd"/>
      <w:r w:rsidRPr="00137C9A">
        <w:rPr>
          <w:rFonts w:eastAsiaTheme="minorHAnsi"/>
          <w:kern w:val="2"/>
          <w:lang w:eastAsia="en-US"/>
          <w14:ligatures w14:val="standardContextual"/>
        </w:rPr>
        <w:t xml:space="preserve"> Al Asiri patterns of the south, to Najdi motifs of the central region, and Sadu weaving traditions of the north, celebrating the diversity of Saudi craftsmanship within a single, cohesive form.</w:t>
      </w:r>
    </w:p>
    <w:p w14:paraId="7DE31DC7" w14:textId="77777777" w:rsidR="00137C9A" w:rsidRPr="00137C9A" w:rsidRDefault="00137C9A" w:rsidP="00137C9A">
      <w:pPr>
        <w:spacing w:after="0"/>
        <w:jc w:val="both"/>
        <w:rPr>
          <w:rFonts w:eastAsiaTheme="minorHAnsi"/>
          <w:kern w:val="2"/>
          <w:lang w:eastAsia="en-US"/>
          <w14:ligatures w14:val="standardContextual"/>
        </w:rPr>
      </w:pPr>
    </w:p>
    <w:p w14:paraId="79A95EEC" w14:textId="1DAC01C6" w:rsidR="00137C9A" w:rsidRPr="00137C9A" w:rsidRDefault="00137C9A" w:rsidP="00137C9A">
      <w:pPr>
        <w:spacing w:after="0"/>
        <w:jc w:val="both"/>
        <w:rPr>
          <w:rFonts w:eastAsiaTheme="minorHAnsi"/>
          <w:kern w:val="2"/>
          <w:lang w:eastAsia="en-US"/>
          <w14:ligatures w14:val="standardContextual"/>
        </w:rPr>
      </w:pPr>
      <w:r w:rsidRPr="00137C9A">
        <w:rPr>
          <w:rFonts w:eastAsiaTheme="minorHAnsi"/>
          <w:kern w:val="2"/>
          <w:lang w:eastAsia="en-US"/>
          <w14:ligatures w14:val="standardContextual"/>
        </w:rPr>
        <w:lastRenderedPageBreak/>
        <w:t xml:space="preserve">A defining feature of the piece is its interpretation of the traditional </w:t>
      </w:r>
      <w:proofErr w:type="spellStart"/>
      <w:r w:rsidRPr="00137C9A">
        <w:rPr>
          <w:rFonts w:eastAsiaTheme="minorHAnsi"/>
          <w:kern w:val="2"/>
          <w:lang w:eastAsia="en-US"/>
          <w14:ligatures w14:val="standardContextual"/>
        </w:rPr>
        <w:t>bisht</w:t>
      </w:r>
      <w:proofErr w:type="spellEnd"/>
      <w:r w:rsidRPr="00137C9A">
        <w:rPr>
          <w:rFonts w:eastAsiaTheme="minorHAnsi"/>
          <w:kern w:val="2"/>
          <w:lang w:eastAsia="en-US"/>
          <w14:ligatures w14:val="standardContextual"/>
        </w:rPr>
        <w:t xml:space="preserve"> (</w:t>
      </w:r>
      <w:proofErr w:type="spellStart"/>
      <w:r w:rsidRPr="00137C9A">
        <w:rPr>
          <w:rFonts w:eastAsiaTheme="minorHAnsi"/>
          <w:kern w:val="2"/>
          <w:lang w:eastAsia="en-US"/>
          <w14:ligatures w14:val="standardContextual"/>
        </w:rPr>
        <w:t>mishlah</w:t>
      </w:r>
      <w:proofErr w:type="spellEnd"/>
      <w:r w:rsidRPr="00137C9A">
        <w:rPr>
          <w:rFonts w:eastAsiaTheme="minorHAnsi"/>
          <w:kern w:val="2"/>
          <w:lang w:eastAsia="en-US"/>
          <w14:ligatures w14:val="standardContextual"/>
        </w:rPr>
        <w:t xml:space="preserve">), worn during special occasions and </w:t>
      </w:r>
      <w:proofErr w:type="spellStart"/>
      <w:r w:rsidRPr="00137C9A">
        <w:rPr>
          <w:rFonts w:eastAsiaTheme="minorHAnsi"/>
          <w:kern w:val="2"/>
          <w:lang w:eastAsia="en-US"/>
          <w14:ligatures w14:val="standardContextual"/>
        </w:rPr>
        <w:t>symbolising</w:t>
      </w:r>
      <w:proofErr w:type="spellEnd"/>
      <w:r w:rsidRPr="00137C9A">
        <w:rPr>
          <w:rFonts w:eastAsiaTheme="minorHAnsi"/>
          <w:kern w:val="2"/>
          <w:lang w:eastAsia="en-US"/>
          <w14:ligatures w14:val="standardContextual"/>
        </w:rPr>
        <w:t xml:space="preserve"> prestige and elegance, subtly woven into the sculpture’s design, a nod to cultural pride that aligns seamlessly with SLS’s luxury lifestyle positioning.</w:t>
      </w:r>
    </w:p>
    <w:p w14:paraId="4B5933F8" w14:textId="77777777" w:rsidR="00137C9A" w:rsidRPr="00137C9A" w:rsidRDefault="00137C9A" w:rsidP="00137C9A">
      <w:pPr>
        <w:spacing w:after="0"/>
        <w:jc w:val="both"/>
        <w:rPr>
          <w:rFonts w:eastAsiaTheme="minorHAnsi"/>
          <w:kern w:val="2"/>
          <w:lang w:eastAsia="en-US"/>
          <w14:ligatures w14:val="standardContextual"/>
        </w:rPr>
      </w:pPr>
    </w:p>
    <w:p w14:paraId="71AB6B48" w14:textId="77777777" w:rsidR="00137C9A" w:rsidRPr="00137C9A" w:rsidRDefault="00137C9A" w:rsidP="00137C9A">
      <w:pPr>
        <w:spacing w:after="0"/>
        <w:jc w:val="both"/>
        <w:rPr>
          <w:rFonts w:eastAsiaTheme="minorHAnsi"/>
          <w:kern w:val="2"/>
          <w:lang w:eastAsia="en-US"/>
          <w14:ligatures w14:val="standardContextual"/>
        </w:rPr>
      </w:pPr>
      <w:r w:rsidRPr="00137C9A">
        <w:rPr>
          <w:rFonts w:eastAsiaTheme="minorHAnsi"/>
          <w:kern w:val="2"/>
          <w:lang w:eastAsia="en-US"/>
          <w14:ligatures w14:val="standardContextual"/>
        </w:rPr>
        <w:t xml:space="preserve">Executed in vibrant acrylics and finished with industrial-grade protective varnish, the installation’s bold </w:t>
      </w:r>
      <w:proofErr w:type="spellStart"/>
      <w:r w:rsidRPr="00137C9A">
        <w:rPr>
          <w:rFonts w:eastAsiaTheme="minorHAnsi"/>
          <w:kern w:val="2"/>
          <w:lang w:eastAsia="en-US"/>
          <w14:ligatures w14:val="standardContextual"/>
        </w:rPr>
        <w:t>colour</w:t>
      </w:r>
      <w:proofErr w:type="spellEnd"/>
      <w:r w:rsidRPr="00137C9A">
        <w:rPr>
          <w:rFonts w:eastAsiaTheme="minorHAnsi"/>
          <w:kern w:val="2"/>
          <w:lang w:eastAsia="en-US"/>
          <w14:ligatures w14:val="standardContextual"/>
        </w:rPr>
        <w:t xml:space="preserve"> palette and abstract, sea-inspired forms echo the resort’s coastal setting while ensuring durability and long-term preservation.</w:t>
      </w:r>
    </w:p>
    <w:p w14:paraId="583FAA68" w14:textId="77777777" w:rsidR="00137C9A" w:rsidRPr="00137C9A" w:rsidRDefault="00137C9A" w:rsidP="00137C9A">
      <w:pPr>
        <w:spacing w:after="0"/>
        <w:jc w:val="both"/>
        <w:rPr>
          <w:rFonts w:eastAsiaTheme="minorHAnsi"/>
          <w:kern w:val="2"/>
          <w:lang w:eastAsia="en-US"/>
          <w14:ligatures w14:val="standardContextual"/>
        </w:rPr>
      </w:pPr>
    </w:p>
    <w:p w14:paraId="4F023720" w14:textId="77777777" w:rsidR="00137C9A" w:rsidRPr="00137C9A" w:rsidRDefault="00137C9A" w:rsidP="00137C9A">
      <w:pPr>
        <w:spacing w:after="0"/>
        <w:jc w:val="both"/>
        <w:rPr>
          <w:rFonts w:eastAsiaTheme="minorHAnsi"/>
          <w:kern w:val="2"/>
          <w:lang w:eastAsia="en-US"/>
          <w14:ligatures w14:val="standardContextual"/>
        </w:rPr>
      </w:pPr>
      <w:r w:rsidRPr="00137C9A">
        <w:rPr>
          <w:rFonts w:eastAsiaTheme="minorHAnsi"/>
          <w:kern w:val="2"/>
          <w:lang w:eastAsia="en-US"/>
          <w14:ligatures w14:val="standardContextual"/>
        </w:rPr>
        <w:t>The artwork reinforces SLS The Red Sea’s commitment to showcasing contemporary Saudi creativity, offering guests an immersive visual experience where art, culture and modern hospitality intersect.</w:t>
      </w:r>
    </w:p>
    <w:p w14:paraId="7BE4E8D1" w14:textId="77777777" w:rsidR="00137C9A" w:rsidRDefault="00137C9A" w:rsidP="00137C9A">
      <w:pPr>
        <w:spacing w:after="0"/>
        <w:jc w:val="both"/>
      </w:pPr>
    </w:p>
    <w:p w14:paraId="6C59B5BC" w14:textId="4D35C144" w:rsidR="00137C9A" w:rsidRPr="00137C9A" w:rsidRDefault="00137C9A" w:rsidP="00137C9A">
      <w:pPr>
        <w:spacing w:after="0"/>
        <w:jc w:val="center"/>
        <w:rPr>
          <w:b/>
          <w:bCs/>
        </w:rPr>
      </w:pPr>
      <w:r w:rsidRPr="00137C9A">
        <w:rPr>
          <w:b/>
          <w:bCs/>
        </w:rPr>
        <w:t>-ENDS-</w:t>
      </w:r>
    </w:p>
    <w:p w14:paraId="6818BB0D" w14:textId="77777777" w:rsidR="00137C9A" w:rsidRDefault="00137C9A" w:rsidP="00137C9A">
      <w:pPr>
        <w:jc w:val="both"/>
      </w:pPr>
    </w:p>
    <w:p w14:paraId="5270A07D" w14:textId="4A1A2560" w:rsidR="00D31BDF" w:rsidRPr="00137C9A" w:rsidRDefault="3025C650" w:rsidP="00137C9A">
      <w:pPr>
        <w:jc w:val="both"/>
        <w:rPr>
          <w:rFonts w:ascii="Aptos" w:eastAsia="Aptos" w:hAnsi="Aptos" w:cs="Aptos"/>
          <w:color w:val="000000" w:themeColor="text1"/>
          <w:sz w:val="18"/>
          <w:szCs w:val="18"/>
        </w:rPr>
      </w:pPr>
      <w:r w:rsidRPr="7605A10F">
        <w:rPr>
          <w:rFonts w:ascii="Aptos" w:eastAsia="Aptos" w:hAnsi="Aptos" w:cs="Aptos"/>
          <w:b/>
          <w:bCs/>
          <w:color w:val="000000" w:themeColor="text1"/>
          <w:sz w:val="18"/>
          <w:szCs w:val="18"/>
        </w:rPr>
        <w:t>About The Red Sea</w:t>
      </w:r>
    </w:p>
    <w:p w14:paraId="5DD4C7C7" w14:textId="7C5456F8" w:rsidR="0CB3635A" w:rsidRDefault="0CB3635A" w:rsidP="7605A10F">
      <w:pPr>
        <w:spacing w:after="0"/>
        <w:jc w:val="both"/>
        <w:rPr>
          <w:rFonts w:ascii="Aptos" w:eastAsia="Aptos" w:hAnsi="Aptos" w:cs="Aptos"/>
          <w:sz w:val="18"/>
          <w:szCs w:val="18"/>
          <w:lang w:val="en-GB"/>
        </w:rPr>
      </w:pPr>
      <w:r w:rsidRPr="356E199F">
        <w:rPr>
          <w:rFonts w:ascii="Aptos" w:eastAsia="Aptos" w:hAnsi="Aptos" w:cs="Aptos"/>
          <w:sz w:val="18"/>
          <w:szCs w:val="18"/>
        </w:rPr>
        <w:t>The Red Sea is a pioneering destination on Saudi Arabia’s west coast, inviting guests to experience a place of extraordinary natural beauty across more than 28,000 km² and an archipelago of 90+ pristine islands framed by desert and mountains. Open since 2023, The Red Sea welcomes guests to a growing collection of world-class resorts operated by world-renowned hotel brands and Red Sea Global. Shura Island, the heart of the destination, began welcoming guests in 202</w:t>
      </w:r>
      <w:r w:rsidR="14D44C6D" w:rsidRPr="356E199F">
        <w:rPr>
          <w:rFonts w:ascii="Aptos" w:eastAsia="Aptos" w:hAnsi="Aptos" w:cs="Aptos"/>
          <w:sz w:val="18"/>
          <w:szCs w:val="18"/>
        </w:rPr>
        <w:t>6</w:t>
      </w:r>
      <w:r w:rsidRPr="356E199F">
        <w:rPr>
          <w:rFonts w:ascii="Aptos" w:eastAsia="Aptos" w:hAnsi="Aptos" w:cs="Aptos"/>
          <w:sz w:val="18"/>
          <w:szCs w:val="18"/>
        </w:rPr>
        <w:t xml:space="preserve"> and is currently home to three open resorts with a total of 11 resorts planned for the island. </w:t>
      </w:r>
      <w:r w:rsidRPr="356E199F">
        <w:rPr>
          <w:rFonts w:ascii="Aptos" w:eastAsia="Aptos" w:hAnsi="Aptos" w:cs="Aptos"/>
          <w:sz w:val="18"/>
          <w:szCs w:val="18"/>
          <w:lang w:val="en-GB"/>
        </w:rPr>
        <w:t>The island is set to be fully live in 2026. Signature experiences also include high-adrenaline water and land sports to cultural and nature-based adventures, delivered by destination activity brands WAMA (over-water), Galaxea (underwater), and Akun (inland).</w:t>
      </w:r>
    </w:p>
    <w:p w14:paraId="02DDA278" w14:textId="5AE48B30" w:rsidR="0CB3635A" w:rsidRDefault="0CB3635A" w:rsidP="7605A10F">
      <w:pPr>
        <w:spacing w:after="0"/>
        <w:jc w:val="both"/>
        <w:rPr>
          <w:rFonts w:ascii="Aptos" w:eastAsia="Aptos" w:hAnsi="Aptos" w:cs="Aptos"/>
          <w:sz w:val="18"/>
          <w:szCs w:val="18"/>
          <w:lang w:val="en-GB"/>
        </w:rPr>
      </w:pPr>
      <w:r w:rsidRPr="7605A10F">
        <w:rPr>
          <w:rFonts w:ascii="Aptos" w:eastAsia="Aptos" w:hAnsi="Aptos" w:cs="Aptos"/>
          <w:sz w:val="18"/>
          <w:szCs w:val="18"/>
          <w:lang w:val="en-GB"/>
        </w:rPr>
        <w:t xml:space="preserve"> </w:t>
      </w:r>
    </w:p>
    <w:p w14:paraId="1B067D35" w14:textId="6F3473B2" w:rsidR="0CB3635A" w:rsidRDefault="0CB3635A" w:rsidP="7605A10F">
      <w:pPr>
        <w:spacing w:after="0"/>
        <w:jc w:val="both"/>
        <w:rPr>
          <w:rFonts w:ascii="Aptos" w:eastAsia="Aptos" w:hAnsi="Aptos" w:cs="Aptos"/>
          <w:sz w:val="18"/>
          <w:szCs w:val="18"/>
          <w:lang w:val="en-GB"/>
        </w:rPr>
      </w:pPr>
      <w:r w:rsidRPr="7605A10F">
        <w:rPr>
          <w:rFonts w:ascii="Aptos" w:eastAsia="Aptos" w:hAnsi="Aptos" w:cs="Aptos"/>
          <w:sz w:val="18"/>
          <w:szCs w:val="18"/>
          <w:lang w:val="en-GB"/>
        </w:rPr>
        <w:t xml:space="preserve">Red Sea International Airport (RSI) offers a seamless arrival experience, with its design inspired by the desert, oasis, and sea. Within three hours’ flying time for 250 million people and eight hours for 85% of the world, RSI currently connects via regular flights from Riyadh, Jeddah, Doha, Milan, and Dubai, with additional regional and international routes launching soon. </w:t>
      </w:r>
    </w:p>
    <w:p w14:paraId="2FB3B835" w14:textId="7FCF9C5F" w:rsidR="0CB3635A" w:rsidRDefault="0CB3635A" w:rsidP="7605A10F">
      <w:pPr>
        <w:spacing w:after="0"/>
        <w:jc w:val="both"/>
        <w:rPr>
          <w:rFonts w:ascii="Aptos" w:eastAsia="Aptos" w:hAnsi="Aptos" w:cs="Aptos"/>
          <w:sz w:val="18"/>
          <w:szCs w:val="18"/>
          <w:lang w:val="en-GB"/>
        </w:rPr>
      </w:pPr>
      <w:r w:rsidRPr="7605A10F">
        <w:rPr>
          <w:rFonts w:ascii="Aptos" w:eastAsia="Aptos" w:hAnsi="Aptos" w:cs="Aptos"/>
          <w:sz w:val="18"/>
          <w:szCs w:val="18"/>
          <w:lang w:val="en-GB"/>
        </w:rPr>
        <w:t xml:space="preserve"> </w:t>
      </w:r>
    </w:p>
    <w:p w14:paraId="662145DA" w14:textId="730CE580" w:rsidR="0CB3635A" w:rsidRDefault="0CB3635A" w:rsidP="7605A10F">
      <w:pPr>
        <w:spacing w:after="0"/>
        <w:jc w:val="both"/>
        <w:rPr>
          <w:rFonts w:ascii="Aptos" w:eastAsia="Aptos" w:hAnsi="Aptos" w:cs="Aptos"/>
          <w:sz w:val="18"/>
          <w:szCs w:val="18"/>
          <w:lang w:val="en-GB"/>
        </w:rPr>
      </w:pPr>
      <w:r w:rsidRPr="7605A10F">
        <w:rPr>
          <w:rFonts w:ascii="Aptos" w:eastAsia="Aptos" w:hAnsi="Aptos" w:cs="Aptos"/>
          <w:sz w:val="18"/>
          <w:szCs w:val="18"/>
          <w:lang w:val="en-GB"/>
        </w:rPr>
        <w:t>Developed by Red Sea Global (RSG), a multi-project developer advancing responsible, regenerative tourism while actively strengthening its environment, culture, and community, The Red Sea will comprise of 50 resorts, 8,000+ hotel keys, and 1,000+ residential properties, complemented by luxury marinas, golf courses, and leisure facilities by 2030. We limited our development to accommodate no more than 1 million visitors a year at The Red Sea and 500,000 at AMAALA to protect the delicate ecosystems, and the destination is powered by 100% renewable energy, targeting a 30% net conservation benefit by 2040.</w:t>
      </w:r>
    </w:p>
    <w:p w14:paraId="3B5211FA" w14:textId="76DA42D1" w:rsidR="7605A10F" w:rsidRDefault="7605A10F" w:rsidP="7605A10F">
      <w:pPr>
        <w:spacing w:after="0"/>
        <w:jc w:val="both"/>
        <w:rPr>
          <w:rFonts w:ascii="Aptos" w:eastAsia="Aptos" w:hAnsi="Aptos" w:cs="Aptos"/>
          <w:color w:val="000000" w:themeColor="text1"/>
          <w:sz w:val="18"/>
          <w:szCs w:val="18"/>
        </w:rPr>
      </w:pPr>
    </w:p>
    <w:p w14:paraId="2C078E63" w14:textId="0718FC0E" w:rsidR="00D31BDF" w:rsidRDefault="00D31BDF" w:rsidP="2D361DCA">
      <w:pPr>
        <w:rPr>
          <w:rFonts w:ascii="Aptos" w:eastAsia="Aptos" w:hAnsi="Aptos" w:cs="Aptos"/>
          <w:color w:val="000000" w:themeColor="text1"/>
        </w:rPr>
      </w:pPr>
    </w:p>
    <w:sectPr w:rsidR="00D31BD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9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EE573E5"/>
    <w:rsid w:val="00102AF2"/>
    <w:rsid w:val="00137C9A"/>
    <w:rsid w:val="00144C33"/>
    <w:rsid w:val="001A22DD"/>
    <w:rsid w:val="00205839"/>
    <w:rsid w:val="00224189"/>
    <w:rsid w:val="003250DE"/>
    <w:rsid w:val="003914E8"/>
    <w:rsid w:val="003C4E9E"/>
    <w:rsid w:val="00677F75"/>
    <w:rsid w:val="006F53CD"/>
    <w:rsid w:val="007418E7"/>
    <w:rsid w:val="00806C26"/>
    <w:rsid w:val="00816A6C"/>
    <w:rsid w:val="009A7E4A"/>
    <w:rsid w:val="00A27704"/>
    <w:rsid w:val="00A56E33"/>
    <w:rsid w:val="00AB0F4C"/>
    <w:rsid w:val="00AD2F7F"/>
    <w:rsid w:val="00BA436E"/>
    <w:rsid w:val="00C45979"/>
    <w:rsid w:val="00D31BDF"/>
    <w:rsid w:val="00D950F8"/>
    <w:rsid w:val="00D97C34"/>
    <w:rsid w:val="00DE525A"/>
    <w:rsid w:val="00EA3663"/>
    <w:rsid w:val="00EC6723"/>
    <w:rsid w:val="00F031D2"/>
    <w:rsid w:val="00F37799"/>
    <w:rsid w:val="00F956E1"/>
    <w:rsid w:val="00F95D90"/>
    <w:rsid w:val="013FFEED"/>
    <w:rsid w:val="02053B6E"/>
    <w:rsid w:val="03ED87BF"/>
    <w:rsid w:val="041C4BC7"/>
    <w:rsid w:val="04B0333C"/>
    <w:rsid w:val="04F33E6C"/>
    <w:rsid w:val="072B4F8A"/>
    <w:rsid w:val="08D0F333"/>
    <w:rsid w:val="08F45440"/>
    <w:rsid w:val="0CB3635A"/>
    <w:rsid w:val="0DA715DA"/>
    <w:rsid w:val="0F2DB246"/>
    <w:rsid w:val="10FBBBC0"/>
    <w:rsid w:val="11055A9B"/>
    <w:rsid w:val="116FDEB8"/>
    <w:rsid w:val="1229B2F4"/>
    <w:rsid w:val="12B51E1C"/>
    <w:rsid w:val="13C9C6AC"/>
    <w:rsid w:val="1449726C"/>
    <w:rsid w:val="14D44C6D"/>
    <w:rsid w:val="164E5210"/>
    <w:rsid w:val="17094A9C"/>
    <w:rsid w:val="1915A6EE"/>
    <w:rsid w:val="191638F5"/>
    <w:rsid w:val="1E91F0CC"/>
    <w:rsid w:val="2118176F"/>
    <w:rsid w:val="21D0748F"/>
    <w:rsid w:val="2397DAAD"/>
    <w:rsid w:val="23BA1954"/>
    <w:rsid w:val="252A425D"/>
    <w:rsid w:val="25FBD65A"/>
    <w:rsid w:val="28A13AEA"/>
    <w:rsid w:val="2A1C2C5C"/>
    <w:rsid w:val="2CC06FEE"/>
    <w:rsid w:val="2CF46CEA"/>
    <w:rsid w:val="2D1ED24C"/>
    <w:rsid w:val="2D361DCA"/>
    <w:rsid w:val="2EB61C48"/>
    <w:rsid w:val="2F92CA41"/>
    <w:rsid w:val="3025C650"/>
    <w:rsid w:val="30F595D5"/>
    <w:rsid w:val="319D28CD"/>
    <w:rsid w:val="324D9EE4"/>
    <w:rsid w:val="356E199F"/>
    <w:rsid w:val="35E70667"/>
    <w:rsid w:val="381BA83C"/>
    <w:rsid w:val="3962E4CE"/>
    <w:rsid w:val="3A73431A"/>
    <w:rsid w:val="3C99C53A"/>
    <w:rsid w:val="3C9AC191"/>
    <w:rsid w:val="3D1D00CF"/>
    <w:rsid w:val="3EE573E5"/>
    <w:rsid w:val="3FA68A7C"/>
    <w:rsid w:val="412094D3"/>
    <w:rsid w:val="41525D06"/>
    <w:rsid w:val="419607DE"/>
    <w:rsid w:val="42847A8A"/>
    <w:rsid w:val="4355183B"/>
    <w:rsid w:val="43C3FF29"/>
    <w:rsid w:val="43FEE8FD"/>
    <w:rsid w:val="444478E6"/>
    <w:rsid w:val="45D1E487"/>
    <w:rsid w:val="462B8758"/>
    <w:rsid w:val="49F814DB"/>
    <w:rsid w:val="4D7C6E9B"/>
    <w:rsid w:val="4E02993A"/>
    <w:rsid w:val="4F1A1A94"/>
    <w:rsid w:val="51E4BD25"/>
    <w:rsid w:val="52CB75C6"/>
    <w:rsid w:val="5546DD29"/>
    <w:rsid w:val="56FAB7D7"/>
    <w:rsid w:val="591D9E81"/>
    <w:rsid w:val="5982F076"/>
    <w:rsid w:val="5E4791C9"/>
    <w:rsid w:val="5E69DF01"/>
    <w:rsid w:val="5EA2C59A"/>
    <w:rsid w:val="5FFE1C23"/>
    <w:rsid w:val="6067188A"/>
    <w:rsid w:val="62D85316"/>
    <w:rsid w:val="63091278"/>
    <w:rsid w:val="66404E46"/>
    <w:rsid w:val="6648AA9E"/>
    <w:rsid w:val="6654E16B"/>
    <w:rsid w:val="6B70D1E9"/>
    <w:rsid w:val="6D1857B2"/>
    <w:rsid w:val="6E09EF5D"/>
    <w:rsid w:val="6E331475"/>
    <w:rsid w:val="7115D0D4"/>
    <w:rsid w:val="71666D08"/>
    <w:rsid w:val="72CDB76C"/>
    <w:rsid w:val="73226DA0"/>
    <w:rsid w:val="74786E07"/>
    <w:rsid w:val="75BA9A65"/>
    <w:rsid w:val="7605A10F"/>
    <w:rsid w:val="761FE425"/>
    <w:rsid w:val="77E1E9D6"/>
    <w:rsid w:val="784CD1B1"/>
    <w:rsid w:val="78F0A1C8"/>
    <w:rsid w:val="79F4588F"/>
    <w:rsid w:val="7A0FC21F"/>
    <w:rsid w:val="7B1030CD"/>
    <w:rsid w:val="7FA00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D2C69D"/>
  <w15:chartTrackingRefBased/>
  <w15:docId w15:val="{1152443C-CF2B-45AA-A1AF-AB92F4A57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2D361DCA"/>
    <w:rPr>
      <w:color w:val="467886"/>
      <w:u w:val="single"/>
    </w:rPr>
  </w:style>
  <w:style w:type="character" w:styleId="Strong">
    <w:name w:val="Strong"/>
    <w:basedOn w:val="DefaultParagraphFont"/>
    <w:uiPriority w:val="22"/>
    <w:qFormat/>
    <w:rsid w:val="00D97C34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D97C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val="en-GB" w:eastAsia="en-GB"/>
    </w:rPr>
  </w:style>
  <w:style w:type="paragraph" w:styleId="Revision">
    <w:name w:val="Revision"/>
    <w:hidden/>
    <w:uiPriority w:val="99"/>
    <w:semiHidden/>
    <w:rsid w:val="00A27704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3914E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956E1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visitredsea.com/en/resorts/shura-sls-the-red-sea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e.tl/t-mGEHqsYC0P" TargetMode="External"/><Relationship Id="rId5" Type="http://schemas.openxmlformats.org/officeDocument/2006/relationships/image" Target="media/image2.png"/><Relationship Id="rId10" Type="http://schemas.microsoft.com/office/2020/10/relationships/intelligence" Target="intelligence2.xm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517</Words>
  <Characters>2994</Characters>
  <Application>Microsoft Office Word</Application>
  <DocSecurity>0</DocSecurity>
  <Lines>56</Lines>
  <Paragraphs>13</Paragraphs>
  <ScaleCrop>false</ScaleCrop>
  <Company/>
  <LinksUpToDate>false</LinksUpToDate>
  <CharactersWithSpaces>3501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Zeena Bazian</dc:creator>
  <cp:keywords/>
  <dc:description/>
  <cp:lastModifiedBy>Nida Nafis</cp:lastModifiedBy>
  <cp:revision>9</cp:revision>
  <dcterms:created xsi:type="dcterms:W3CDTF">2026-01-07T08:38:00Z</dcterms:created>
  <dcterms:modified xsi:type="dcterms:W3CDTF">2026-01-28T10:36:00Z</dcterms:modified>
</cp:coreProperties>
</file>